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Influencer Collaboration Agreement</w:t>
      </w:r>
    </w:p>
    <w:p>
      <w:r>
        <w:rPr>
          <w:i/>
          <w:iCs/>
          <w:color w:val="555555"/>
        </w:rPr>
        <w:t xml:space="preserve">Clause-annotated template for Indian brands and creators</w:t>
      </w:r>
    </w:p>
    <w:p>
      <w:r>
        <w:rPr>
          <w:color w:val="555555"/>
          <w:sz w:val="20"/>
          <w:szCs w:val="20"/>
        </w:rPr>
        <w:t xml:space="preserve">Prepared by Influverse · influverse.co</w:t>
      </w:r>
    </w:p>
    <w:p>
      <w:pPr>
        <w:spacing w:before="240"/>
      </w:pPr>
      <w:r>
        <w:rPr>
          <w:sz w:val="20"/>
          <w:szCs w:val="20"/>
        </w:rPr>
        <w:t xml:space="preserve">How to use this template: replace every bracketed field, delete clauses that do not apply to your campaign, and keep the grey “Why it matters” notes only in your internal working copy — remove them before sending to a creator. This document is an educational template, not legal advice. Have your counsel review before execution.</w:t>
      </w:r>
    </w:p>
    <w:p>
      <w:pPr>
        <w:pBdr>
          <w:bottom w:val="single" w:color="1F3A8A" w:sz="6" w:space="1"/>
        </w:pBdr>
        <w:spacing w:after="200" w:before="200"/>
      </w:pPr>
      <w:r>
        <w:t xml:space="preserve"/>
      </w:r>
    </w:p>
    <w:p>
      <w:pPr>
        <w:pStyle w:val="Heading2"/>
      </w:pPr>
      <w:r>
        <w:t xml:space="preserve">1. Parties and Effective Date</w:t>
      </w:r>
    </w:p>
    <w:p>
      <w:r>
        <w:t xml:space="preserve">This Influencer Collaboration Agreement (“Agreement”) is made on [DATE] between [BRAND LEGAL NAME], a company incorporated under the Companies Act, 2013, having its registered office at [ADDRESS] (“Brand”), and [CREATOR LEGAL NAME], residing at [ADDRESS], PAN [PAN], GSTIN [GSTIN or “Not registered”] (“Creator”).</w:t>
      </w:r>
    </w:p>
    <w:p>
      <w:pPr>
        <w:spacing w:after="200" w:before="80"/>
        <w:ind w:left="360"/>
      </w:pPr>
      <w:r>
        <w:rPr>
          <w:i/>
          <w:iCs/>
          <w:color w:val="5B5B5B"/>
          <w:sz w:val="20"/>
          <w:szCs w:val="20"/>
        </w:rPr>
        <w:t xml:space="preserve">Why it matters: Use legal names, not handles. A handle is not a contracting party. Record PAN and GST status here — both drive deduction and invoicing downstream.</w:t>
      </w:r>
    </w:p>
    <w:p>
      <w:pPr>
        <w:pStyle w:val="Heading2"/>
      </w:pPr>
      <w:r>
        <w:t xml:space="preserve">2. Scope of Deliverables</w:t>
      </w:r>
    </w:p>
    <w:p>
      <w:r>
        <w:t xml:space="preserve">The Creator shall produce and publish: [e.g. 2 Instagram Reels (45–60s), 3 Stories with link sticker, 1 static carousel] on the handle(s) [@HANDLE], on the platform(s) [PLATFORM], according to the schedule in Annexure A.</w:t>
      </w:r>
    </w:p>
    <w:p>
      <w:pPr>
        <w:spacing w:after="200" w:before="80"/>
        <w:ind w:left="360"/>
      </w:pPr>
      <w:r>
        <w:rPr>
          <w:i/>
          <w:iCs/>
          <w:color w:val="5B5B5B"/>
          <w:sz w:val="20"/>
          <w:szCs w:val="20"/>
        </w:rPr>
        <w:t xml:space="preserve">Why it matters: Quantity, format, duration, platform, handle and date must all be written. “Social media content” is unenforceable.</w:t>
      </w:r>
    </w:p>
    <w:p>
      <w:pPr>
        <w:pStyle w:val="Heading2"/>
      </w:pPr>
      <w:r>
        <w:t xml:space="preserve">3. Content Approval Process</w:t>
      </w:r>
    </w:p>
    <w:p>
      <w:r>
        <w:t xml:space="preserve">The Creator shall submit drafts at least [5] business days before the scheduled publish date. The Brand shall provide consolidated feedback within [2] business days. The Brand is entitled to [2] rounds of revisions limited to factual accuracy, brand-safety and legal compliance. Feedback not received within the stated window is deemed approved.</w:t>
      </w:r>
    </w:p>
    <w:p>
      <w:pPr>
        <w:spacing w:after="200" w:before="80"/>
        <w:ind w:left="360"/>
      </w:pPr>
      <w:r>
        <w:rPr>
          <w:i/>
          <w:iCs/>
          <w:color w:val="5B5B5B"/>
          <w:sz w:val="20"/>
          <w:szCs w:val="20"/>
        </w:rPr>
        <w:t xml:space="preserve">Why it matters: Deemed approval protects the creator from indefinite review loops; the revision cap protects the brand’s budget. Restrict feedback grounds so creative control stays with the creator.</w:t>
      </w:r>
    </w:p>
    <w:p>
      <w:pPr>
        <w:pStyle w:val="Heading2"/>
      </w:pPr>
      <w:r>
        <w:t xml:space="preserve">4. Publishing Schedule and Live Period</w:t>
      </w:r>
    </w:p>
    <w:p>
      <w:r>
        <w:t xml:space="preserve">Content shall remain live and publicly visible on the Creator’s handle for a minimum of [90] days from publication. Early removal requires the Brand’s written consent, except where removal is required by law or platform policy.</w:t>
      </w:r>
    </w:p>
    <w:p>
      <w:pPr>
        <w:spacing w:after="200" w:before="80"/>
        <w:ind w:left="360"/>
      </w:pPr>
      <w:r>
        <w:rPr>
          <w:i/>
          <w:iCs/>
          <w:color w:val="5B5B5B"/>
          <w:sz w:val="20"/>
          <w:szCs w:val="20"/>
        </w:rPr>
        <w:t xml:space="preserve">Why it matters: Without a live period, content can disappear the week after payment.</w:t>
      </w:r>
    </w:p>
    <w:p>
      <w:pPr>
        <w:pStyle w:val="Heading2"/>
      </w:pPr>
      <w:r>
        <w:t xml:space="preserve">5. Content Usage and Licence Rights</w:t>
      </w:r>
    </w:p>
    <w:p>
      <w:r>
        <w:t xml:space="preserve">The Creator grants the Brand a [non-exclusive / exclusive], [worldwide / India], [royalty-free] licence to use, reproduce, edit and display the deliverables for [organic social / paid amplification / website / retail POS] for a period of [6] months from publication. Any usage outside this scope requires a separate written addendum and additional consideration of [AMOUNT].</w:t>
      </w:r>
    </w:p>
    <w:p>
      <w:pPr>
        <w:spacing w:after="200" w:before="80"/>
        <w:ind w:left="360"/>
      </w:pPr>
      <w:r>
        <w:rPr>
          <w:i/>
          <w:iCs/>
          <w:color w:val="5B5B5B"/>
          <w:sz w:val="20"/>
          <w:szCs w:val="20"/>
        </w:rPr>
        <w:t xml:space="preserve">Why it matters: Whitelisting and paid ads are separate rights and must be priced separately. Perpetual worldwide all-media rights for an organic fee is the single most common source of dispute.</w:t>
      </w:r>
    </w:p>
    <w:p>
      <w:pPr>
        <w:pStyle w:val="Heading2"/>
      </w:pPr>
      <w:r>
        <w:t xml:space="preserve">6. Exclusivity and Category Restriction</w:t>
      </w:r>
    </w:p>
    <w:p>
      <w:r>
        <w:t xml:space="preserve">For a period of [30] days from the first publication date, the Creator shall not create paid promotional content for any brand whose primary business is [DEFINED CATEGORY, e.g. ready-to-drink beverages]. This restriction does not apply to organic or unpaid mentions.</w:t>
      </w:r>
    </w:p>
    <w:p>
      <w:pPr>
        <w:spacing w:after="200" w:before="80"/>
        <w:ind w:left="360"/>
      </w:pPr>
      <w:r>
        <w:rPr>
          <w:i/>
          <w:iCs/>
          <w:color w:val="5B5B5B"/>
          <w:sz w:val="20"/>
          <w:szCs w:val="20"/>
        </w:rPr>
        <w:t xml:space="preserve">Why it matters: Define the category narrowly and by business line. “Any competitor” is both unenforceable and unfair.</w:t>
      </w:r>
    </w:p>
    <w:p>
      <w:pPr>
        <w:pStyle w:val="Heading2"/>
      </w:pPr>
      <w:r>
        <w:t xml:space="preserve">7. Disclosure and ASCI Compliance</w:t>
      </w:r>
    </w:p>
    <w:p>
      <w:r>
        <w:t xml:space="preserve">The Creator shall disclose the material connection using a permitted label (“Ad”, “Advertisement”, “Sponsored”, “Paid promotion”, “Paid partnership”, “Collaboration”) placed upfront and prominently, in accordance with the ASCI Guidelines for Influencer Advertising in Digital Media and the Consumer Protection Act, 2019. Disclosure shall be in the same language as the content and shall not be hidden behind a “more” fold.</w:t>
      </w:r>
    </w:p>
    <w:p>
      <w:pPr>
        <w:spacing w:after="200" w:before="80"/>
        <w:ind w:left="360"/>
      </w:pPr>
      <w:r>
        <w:rPr>
          <w:i/>
          <w:iCs/>
          <w:color w:val="5B5B5B"/>
          <w:sz w:val="20"/>
          <w:szCs w:val="20"/>
        </w:rPr>
        <w:t xml:space="preserve">Why it matters: Non-disclosure exposes the brand, not only the creator. Make compliance a contractual obligation, not a request in a WhatsApp thread.</w:t>
      </w:r>
    </w:p>
    <w:p>
      <w:pPr>
        <w:pStyle w:val="Heading2"/>
      </w:pPr>
      <w:r>
        <w:t xml:space="preserve">8. Representations, Warranties and Claims</w:t>
      </w:r>
    </w:p>
    <w:p>
      <w:r>
        <w:t xml:space="preserve">The Creator warrants that the content is original, does not infringe third-party rights, and contains no unverified claims. The Brand warrants that all product claims supplied to the Creator are substantiated and shall indemnify the Creator against claims arising solely from Brand-supplied claim copy.</w:t>
      </w:r>
    </w:p>
    <w:p>
      <w:pPr>
        <w:spacing w:after="200" w:before="80"/>
        <w:ind w:left="360"/>
      </w:pPr>
      <w:r>
        <w:rPr>
          <w:i/>
          <w:iCs/>
          <w:color w:val="5B5B5B"/>
          <w:sz w:val="20"/>
          <w:szCs w:val="20"/>
        </w:rPr>
        <w:t xml:space="preserve">Why it matters: Mutual indemnity. Each side owns the risk it actually creates.</w:t>
      </w:r>
    </w:p>
    <w:p>
      <w:pPr>
        <w:pStyle w:val="Heading2"/>
      </w:pPr>
      <w:r>
        <w:t xml:space="preserve">9. Morality and Brand-Safety Clause</w:t>
      </w:r>
    </w:p>
    <w:p>
      <w:r>
        <w:t xml:space="preserve">Either party may terminate this Agreement with immediate written notice if the other party engages in conduct that is unlawful, or that attracts substantial public disrepute materially damaging the terminating party’s reputation. Termination under this clause shall not affect payment for deliverables already published.</w:t>
      </w:r>
    </w:p>
    <w:p>
      <w:pPr>
        <w:spacing w:after="200" w:before="80"/>
        <w:ind w:left="360"/>
      </w:pPr>
      <w:r>
        <w:rPr>
          <w:i/>
          <w:iCs/>
          <w:color w:val="5B5B5B"/>
          <w:sz w:val="20"/>
          <w:szCs w:val="20"/>
        </w:rPr>
        <w:t xml:space="preserve">Why it matters: Keep it mutual and keep it objective. One-sided, vaguely worded morality clauses are routinely refused by serious creators.</w:t>
      </w:r>
    </w:p>
    <w:p>
      <w:pPr>
        <w:pStyle w:val="Heading2"/>
      </w:pPr>
      <w:r>
        <w:t xml:space="preserve">10. Fees, Taxes and Payment Terms</w:t>
      </w:r>
    </w:p>
    <w:p>
      <w:r>
        <w:t xml:space="preserve">The total fee is INR [AMOUNT] (exclusive of GST). The Brand shall pay [50]% on signature and [50]% within [30] days of the final deliverable going live, against a valid invoice. Where applicable, GST at 18% shall be charged by the Creator on a forward-charge basis. The Brand shall deduct TDS under Section 194J / 194C at the applicable rate and shall issue Form 16A within the statutory timeline.</w:t>
      </w:r>
    </w:p>
    <w:p>
      <w:pPr>
        <w:spacing w:after="200" w:before="80"/>
        <w:ind w:left="360"/>
      </w:pPr>
      <w:r>
        <w:rPr>
          <w:i/>
          <w:iCs/>
          <w:color w:val="5B5B5B"/>
          <w:sz w:val="20"/>
          <w:szCs w:val="20"/>
        </w:rPr>
        <w:t xml:space="preserve">Why it matters: Name the rate, the trigger, the invoice requirement and the TDS section. “Net 30 from invoice” with no invoice acceptance date is an open loop.</w:t>
      </w:r>
    </w:p>
    <w:p>
      <w:pPr>
        <w:pStyle w:val="Heading2"/>
      </w:pPr>
      <w:r>
        <w:t xml:space="preserve">11. Gifting, Barter and Section 194R</w:t>
      </w:r>
    </w:p>
    <w:p>
      <w:r>
        <w:t xml:space="preserve">Where consideration includes products or services in kind with an aggregate value exceeding INR 20,000 in a financial year, the Brand shall comply with Section 194R of the Income-tax Act, 1961, and the Creator shall cooperate in providing documentation required for such compliance.</w:t>
      </w:r>
    </w:p>
    <w:p>
      <w:pPr>
        <w:spacing w:after="200" w:before="80"/>
        <w:ind w:left="360"/>
      </w:pPr>
      <w:r>
        <w:rPr>
          <w:i/>
          <w:iCs/>
          <w:color w:val="5B5B5B"/>
          <w:sz w:val="20"/>
          <w:szCs w:val="20"/>
        </w:rPr>
        <w:t xml:space="preserve">Why it matters: Barter is not tax-free. Fix responsibility for the 194R deduction in writing before the parcel ships.</w:t>
      </w:r>
    </w:p>
    <w:p>
      <w:pPr>
        <w:pStyle w:val="Heading2"/>
      </w:pPr>
      <w:r>
        <w:t xml:space="preserve">12. Confidentiality</w:t>
      </w:r>
    </w:p>
    <w:p>
      <w:r>
        <w:t xml:space="preserve">Each party shall keep confidential all non-public information disclosed under this Agreement, including commercial terms, campaign strategy and unreleased product information, for [2] years from the date of disclosure.</w:t>
      </w:r>
    </w:p>
    <w:p>
      <w:pPr>
        <w:spacing w:after="200" w:before="80"/>
        <w:ind w:left="360"/>
      </w:pPr>
      <w:r>
        <w:rPr>
          <w:i/>
          <w:iCs/>
          <w:color w:val="5B5B5B"/>
          <w:sz w:val="20"/>
          <w:szCs w:val="20"/>
        </w:rPr>
        <w:t xml:space="preserve">Why it matters: Carve out information the creator must disclose by law — notably the fact of the paid partnership itself.</w:t>
      </w:r>
    </w:p>
    <w:p>
      <w:pPr>
        <w:pStyle w:val="Heading2"/>
      </w:pPr>
      <w:r>
        <w:t xml:space="preserve">13. Data Protection (DPDP Act, 2023)</w:t>
      </w:r>
    </w:p>
    <w:p>
      <w:r>
        <w:t xml:space="preserve">Where the Creator collects personal data of individuals on behalf of the Brand (including through contests, forms or link-in-bio capture), the Creator shall act on the Brand’s documented instructions, collect only with valid consent and notice, and shall not retain such data after campaign completion.</w:t>
      </w:r>
    </w:p>
    <w:p>
      <w:pPr>
        <w:spacing w:after="200" w:before="80"/>
        <w:ind w:left="360"/>
      </w:pPr>
      <w:r>
        <w:rPr>
          <w:i/>
          <w:iCs/>
          <w:color w:val="5B5B5B"/>
          <w:sz w:val="20"/>
          <w:szCs w:val="20"/>
        </w:rPr>
        <w:t xml:space="preserve">Why it matters: Contest entries and DM lead capture are personal data. Assign controller and processor roles explicitly.</w:t>
      </w:r>
    </w:p>
    <w:p>
      <w:pPr>
        <w:pStyle w:val="Heading2"/>
      </w:pPr>
      <w:r>
        <w:t xml:space="preserve">14. Termination and Kill Fee</w:t>
      </w:r>
    </w:p>
    <w:p>
      <w:r>
        <w:t xml:space="preserve">The Brand may terminate before publication on written notice, subject to a kill fee of [50]% of the total fee if content production has commenced, or [100]% if content has been approved but not published. Either party may terminate for material breach not cured within [7] days of written notice.</w:t>
      </w:r>
    </w:p>
    <w:p>
      <w:pPr>
        <w:spacing w:after="200" w:before="80"/>
        <w:ind w:left="360"/>
      </w:pPr>
      <w:r>
        <w:rPr>
          <w:i/>
          <w:iCs/>
          <w:color w:val="5B5B5B"/>
          <w:sz w:val="20"/>
          <w:szCs w:val="20"/>
        </w:rPr>
        <w:t xml:space="preserve">Why it matters: A kill fee converts a cancellation argument into an arithmetic exercise.</w:t>
      </w:r>
    </w:p>
    <w:p>
      <w:pPr>
        <w:pStyle w:val="Heading2"/>
      </w:pPr>
      <w:r>
        <w:t xml:space="preserve">15. Governing Law, Jurisdiction and Dispute Resolution</w:t>
      </w:r>
    </w:p>
    <w:p>
      <w:r>
        <w:t xml:space="preserve">This Agreement is governed by the laws of India. The parties shall first attempt resolution by good-faith discussion for [15] days; failing which, disputes shall be referred to arbitration by a sole arbitrator under the Arbitration and Conciliation Act, 1996, seated at [CITY]. Courts at [CITY] shall have exclusive jurisdiction.</w:t>
      </w:r>
    </w:p>
    <w:p>
      <w:pPr>
        <w:spacing w:after="200" w:before="80"/>
        <w:ind w:left="360"/>
      </w:pPr>
      <w:r>
        <w:rPr>
          <w:i/>
          <w:iCs/>
          <w:color w:val="5B5B5B"/>
          <w:sz w:val="20"/>
          <w:szCs w:val="20"/>
        </w:rPr>
        <w:t xml:space="preserve">Why it matters: Pick one city. Silent jurisdiction turns a small recovery into an unaffordable one.</w:t>
      </w:r>
    </w:p>
    <w:p>
      <w:pPr>
        <w:pStyle w:val="Heading2"/>
      </w:pPr>
      <w:r>
        <w:t xml:space="preserve">Annexure A — Deliverables Schedule</w:t>
      </w:r>
    </w:p>
    <w:p>
      <w:pPr>
        <w:pStyle w:val="ListParagraph"/>
        <w:numPr>
          <w:ilvl w:val="0"/>
          <w:numId w:val="2"/>
        </w:numPr>
      </w:pPr>
      <w:r>
        <w:t xml:space="preserve">Deliverable 1: [format] · platform [ ] · draft due [ ] · live on [ ]</w:t>
      </w:r>
    </w:p>
    <w:p>
      <w:pPr>
        <w:pStyle w:val="ListParagraph"/>
        <w:numPr>
          <w:ilvl w:val="0"/>
          <w:numId w:val="2"/>
        </w:numPr>
      </w:pPr>
      <w:r>
        <w:t xml:space="preserve">Deliverable 2: [format] · platform [ ] · draft due [ ] · live on [ ]</w:t>
      </w:r>
    </w:p>
    <w:p>
      <w:pPr>
        <w:pStyle w:val="ListParagraph"/>
        <w:numPr>
          <w:ilvl w:val="0"/>
          <w:numId w:val="2"/>
        </w:numPr>
      </w:pPr>
      <w:r>
        <w:t xml:space="preserve">Deliverable 3: [format] · platform [ ] · draft due [ ] · live on [ ]</w:t>
      </w:r>
    </w:p>
    <w:p>
      <w:pPr>
        <w:pStyle w:val="Heading2"/>
      </w:pPr>
      <w:r>
        <w:t xml:space="preserve">Signatures</w:t>
      </w:r>
    </w:p>
    <w:p>
      <w:pPr>
        <w:spacing w:before="240"/>
      </w:pPr>
      <w:r>
        <w:t xml:space="preserve">For the Brand: ______________________    Name: ______________    Date: __________</w:t>
      </w:r>
    </w:p>
    <w:p>
      <w:pPr>
        <w:spacing w:before="240"/>
      </w:pPr>
      <w:r>
        <w:t xml:space="preserve">Creator: ______________________    Name: ______________    Date: __________</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8"/>
        <w:szCs w:val="18"/>
      </w:rPr>
      <w:t xml:space="preserve">Page </w:t>
    </w:r>
    <w:r>
      <w:rPr>
        <w:color w:val="77777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777777"/>
        <w:sz w:val="18"/>
        <w:szCs w:val="18"/>
      </w:rPr>
      <w:t xml:space="preserve">Influverse · Influencer Collaboration Agreement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120"/>
      <w:outlineLvl w:val="0"/>
    </w:pPr>
    <w:rPr>
      <w:rFonts w:ascii="Arial" w:cs="Arial" w:eastAsia="Arial" w:hAnsi="Arial"/>
      <w:b/>
      <w:bCs/>
      <w:color w:val="1F3A8A"/>
      <w:sz w:val="34"/>
      <w:szCs w:val="34"/>
    </w:rPr>
  </w:style>
  <w:style w:type="paragraph" w:styleId="Heading2">
    <w:name w:val="Heading 2"/>
    <w:basedOn w:val="Normal"/>
    <w:next w:val="Normal"/>
    <w:qFormat/>
    <w:pPr>
      <w:spacing w:after="120" w:before="280"/>
      <w:outlineLvl w:val="1"/>
    </w:pPr>
    <w:rPr>
      <w:rFonts w:ascii="Arial" w:cs="Arial" w:eastAsia="Arial" w:hAnsi="Arial"/>
      <w:b/>
      <w:bCs/>
      <w:color w:val="111111"/>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2026-09-14T04:19:06.015Z</dcterms:created>
  <dcterms:modified xsi:type="dcterms:W3CDTF">2026-09-14T04:19:06.016Z</dcterms:modified>
</cp:coreProperties>
</file>

<file path=docProps/custom.xml><?xml version="1.0" encoding="utf-8"?>
<Properties xmlns="http://schemas.openxmlformats.org/officeDocument/2006/custom-properties" xmlns:vt="http://schemas.openxmlformats.org/officeDocument/2006/docPropsVTypes"/>
</file>